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DEDCF" w14:textId="2B2F2DA2"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073B71">
        <w:t>2</w:t>
      </w:r>
      <w:r w:rsidRPr="00CE0424">
        <w:tab/>
      </w:r>
      <w:r w:rsidRPr="00CE0424">
        <w:rPr>
          <w:sz w:val="32"/>
          <w:szCs w:val="32"/>
        </w:rPr>
        <w:t>Tdoc R2-1</w:t>
      </w:r>
      <w:r w:rsidR="000151AE">
        <w:rPr>
          <w:sz w:val="32"/>
          <w:szCs w:val="32"/>
        </w:rPr>
        <w:t>8</w:t>
      </w:r>
      <w:r w:rsidR="001B2516">
        <w:rPr>
          <w:sz w:val="32"/>
          <w:szCs w:val="32"/>
        </w:rPr>
        <w:t>07916</w:t>
      </w:r>
    </w:p>
    <w:p w14:paraId="5B28DCC3" w14:textId="2A601DA2" w:rsidR="00700EF5" w:rsidRPr="00CE0424" w:rsidRDefault="00073B71" w:rsidP="00700EF5">
      <w:pPr>
        <w:pStyle w:val="3GPPHeader"/>
      </w:pPr>
      <w:r>
        <w:t>Busan</w:t>
      </w:r>
      <w:r w:rsidR="005E03C7" w:rsidRPr="005E03C7">
        <w:t>,</w:t>
      </w:r>
      <w:r w:rsidR="00D323F0">
        <w:t xml:space="preserve"> </w:t>
      </w:r>
      <w:r>
        <w:t>Korea</w:t>
      </w:r>
      <w:r w:rsidR="00700EF5" w:rsidRPr="004A782B">
        <w:t xml:space="preserve">, </w:t>
      </w:r>
      <w:r>
        <w:t>21</w:t>
      </w:r>
      <w:r w:rsidRPr="00073B71">
        <w:rPr>
          <w:vertAlign w:val="superscript"/>
        </w:rPr>
        <w:t>st</w:t>
      </w:r>
      <w:r>
        <w:t xml:space="preserve"> </w:t>
      </w:r>
      <w:r w:rsidR="00700EF5" w:rsidRPr="00631CA0">
        <w:t xml:space="preserve">– </w:t>
      </w:r>
      <w:r w:rsidR="00823C32">
        <w:t>25</w:t>
      </w:r>
      <w:r w:rsidR="00B34996" w:rsidRPr="00B34996">
        <w:rPr>
          <w:vertAlign w:val="superscript"/>
        </w:rPr>
        <w:t>th</w:t>
      </w:r>
      <w:r w:rsidR="00B34996">
        <w:t xml:space="preserve"> </w:t>
      </w:r>
      <w:r w:rsidR="00823C32">
        <w:t>May</w:t>
      </w:r>
      <w:r w:rsidR="00700EF5">
        <w:t xml:space="preserve"> </w:t>
      </w:r>
      <w:r w:rsidR="00700EF5" w:rsidRPr="00631CA0">
        <w:t>201</w:t>
      </w:r>
      <w:r w:rsidR="000151AE">
        <w:t>8</w:t>
      </w:r>
    </w:p>
    <w:p w14:paraId="0FFA3B1B" w14:textId="77777777" w:rsidR="00E90E49" w:rsidRPr="00CE0424" w:rsidRDefault="00E90E49" w:rsidP="00357380">
      <w:pPr>
        <w:pStyle w:val="3GPPHeader"/>
      </w:pPr>
    </w:p>
    <w:p w14:paraId="0DBA3ED9" w14:textId="0E305FC4" w:rsidR="00E90E49" w:rsidRPr="006F2D29" w:rsidRDefault="00E90E49" w:rsidP="00311702">
      <w:pPr>
        <w:pStyle w:val="3GPPHeader"/>
        <w:rPr>
          <w:sz w:val="22"/>
          <w:lang w:val="en-GB"/>
        </w:rPr>
      </w:pPr>
      <w:r w:rsidRPr="006F2D29">
        <w:rPr>
          <w:sz w:val="22"/>
          <w:lang w:val="en-GB"/>
        </w:rPr>
        <w:t>Agenda Item:</w:t>
      </w:r>
      <w:r w:rsidRPr="006F2D29">
        <w:rPr>
          <w:sz w:val="22"/>
          <w:lang w:val="en-GB"/>
        </w:rPr>
        <w:tab/>
      </w:r>
      <w:r w:rsidR="006576E5" w:rsidRPr="006F2D29">
        <w:rPr>
          <w:sz w:val="22"/>
          <w:lang w:val="en-GB"/>
        </w:rPr>
        <w:t>10.4.1.3.5</w:t>
      </w:r>
    </w:p>
    <w:p w14:paraId="3D09BB9C"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96F3307" w14:textId="2997D4E0" w:rsidR="00E90E49" w:rsidRPr="001B2516" w:rsidRDefault="003D3C45" w:rsidP="00311702">
      <w:pPr>
        <w:pStyle w:val="3GPPHeader"/>
        <w:rPr>
          <w:sz w:val="22"/>
        </w:rPr>
      </w:pPr>
      <w:r>
        <w:rPr>
          <w:sz w:val="22"/>
        </w:rPr>
        <w:t>Title:</w:t>
      </w:r>
      <w:r w:rsidR="00E90E49" w:rsidRPr="00CE0424">
        <w:rPr>
          <w:sz w:val="22"/>
        </w:rPr>
        <w:tab/>
      </w:r>
      <w:r w:rsidR="00104121">
        <w:rPr>
          <w:sz w:val="22"/>
        </w:rPr>
        <w:t>Confi</w:t>
      </w:r>
      <w:r w:rsidR="00104121" w:rsidRPr="001B2516">
        <w:rPr>
          <w:sz w:val="22"/>
        </w:rPr>
        <w:t xml:space="preserve">rm RAN2 working assumptions on </w:t>
      </w:r>
      <w:r w:rsidR="00007DB8" w:rsidRPr="001B2516">
        <w:rPr>
          <w:sz w:val="22"/>
        </w:rPr>
        <w:t>Reestablishment</w:t>
      </w:r>
    </w:p>
    <w:p w14:paraId="7A0567D6" w14:textId="7046298D" w:rsidR="00E90E49" w:rsidRPr="001B2516" w:rsidRDefault="00E90E49" w:rsidP="00D546FF">
      <w:pPr>
        <w:pStyle w:val="3GPPHeader"/>
        <w:rPr>
          <w:sz w:val="22"/>
        </w:rPr>
      </w:pPr>
      <w:r w:rsidRPr="001B2516">
        <w:rPr>
          <w:sz w:val="22"/>
        </w:rPr>
        <w:t>Document for:</w:t>
      </w:r>
      <w:r w:rsidRPr="001B2516">
        <w:rPr>
          <w:sz w:val="22"/>
        </w:rPr>
        <w:tab/>
        <w:t>Decision</w:t>
      </w:r>
      <w:bookmarkStart w:id="0" w:name="_GoBack"/>
      <w:bookmarkEnd w:id="0"/>
    </w:p>
    <w:p w14:paraId="04B9CC0B" w14:textId="0A136BC3" w:rsidR="00C24345" w:rsidRPr="001B2516" w:rsidRDefault="00E90E49" w:rsidP="00A2052C">
      <w:pPr>
        <w:pStyle w:val="Heading1"/>
      </w:pPr>
      <w:r w:rsidRPr="001B2516">
        <w:t>Introduction</w:t>
      </w:r>
    </w:p>
    <w:p w14:paraId="4F529893" w14:textId="1838B238" w:rsidR="004E2E9C" w:rsidRDefault="00007DB8" w:rsidP="00104121">
      <w:r w:rsidRPr="001B2516">
        <w:t>At the last meeting the topic</w:t>
      </w:r>
      <w:r>
        <w:t xml:space="preserve"> on NR RRC Reestablishment was discussed. The following was </w:t>
      </w:r>
      <w:r w:rsidR="004E2E9C">
        <w:t>initially agreed:</w:t>
      </w:r>
    </w:p>
    <w:p w14:paraId="716991F3" w14:textId="77777777" w:rsidR="00AF7F82" w:rsidRDefault="00AF7F82" w:rsidP="00AF7F82">
      <w:pPr>
        <w:pStyle w:val="Doc-text2"/>
      </w:pPr>
      <w:r>
        <w:t>Agreements:</w:t>
      </w:r>
    </w:p>
    <w:p w14:paraId="7A1114A1" w14:textId="77777777" w:rsidR="00AF7F82" w:rsidRDefault="00AF7F82" w:rsidP="00AF7F82">
      <w:pPr>
        <w:pStyle w:val="Doc-text2"/>
      </w:pPr>
      <w:r>
        <w:t>1</w:t>
      </w:r>
      <w:r>
        <w:tab/>
        <w:t>Re-establishment kind message is sent on SRB1 (with at least integrity protection) with the intention to allow re-establishment of DRBs without the network having to wait for the reception of re-establishment complete message.</w:t>
      </w:r>
    </w:p>
    <w:p w14:paraId="7C516057" w14:textId="77777777" w:rsidR="00AF7F82" w:rsidRDefault="00AF7F82" w:rsidP="00AF7F82">
      <w:pPr>
        <w:pStyle w:val="Doc-text2"/>
      </w:pPr>
      <w:r>
        <w:t>2.</w:t>
      </w:r>
      <w:r>
        <w:tab/>
        <w:t>Network can response to the Reestablishment Request kind message with an RRC connection setup in case of RRC re-establishment failure.</w:t>
      </w:r>
    </w:p>
    <w:p w14:paraId="5EAACAEC" w14:textId="77777777" w:rsidR="004E2E9C" w:rsidRDefault="004E2E9C" w:rsidP="00104121"/>
    <w:p w14:paraId="4A73648E" w14:textId="153A0FD2" w:rsidR="00964FE0" w:rsidRPr="00A3212D" w:rsidRDefault="004E2E9C" w:rsidP="00AF7F82">
      <w:r>
        <w:t xml:space="preserve">Then, the following was </w:t>
      </w:r>
      <w:r w:rsidR="00007DB8">
        <w:t>concluded:</w:t>
      </w:r>
    </w:p>
    <w:p w14:paraId="47E57773" w14:textId="77777777" w:rsidR="00964FE0" w:rsidRDefault="00A500CA" w:rsidP="00964FE0">
      <w:pPr>
        <w:pStyle w:val="Doc-title"/>
      </w:pPr>
      <w:hyperlink r:id="rId15" w:tooltip="C:Data3GPPRAN2DocsR2-1806480.zip" w:history="1">
        <w:r w:rsidR="00964FE0" w:rsidRPr="00B90BD0">
          <w:rPr>
            <w:rStyle w:val="Hyperlink"/>
          </w:rPr>
          <w:t>R2-1806480</w:t>
        </w:r>
      </w:hyperlink>
      <w:r w:rsidR="00964FE0" w:rsidRPr="005605A3">
        <w:tab/>
        <w:t>Offline discussion #42 on Reestablishment procedure for NR</w:t>
      </w:r>
      <w:r w:rsidR="00964FE0" w:rsidRPr="005605A3">
        <w:tab/>
        <w:t>Intel</w:t>
      </w:r>
      <w:r w:rsidR="00964FE0" w:rsidRPr="005605A3">
        <w:tab/>
        <w:t>discussion</w:t>
      </w:r>
      <w:r w:rsidR="00964FE0" w:rsidRPr="005605A3">
        <w:tab/>
        <w:t>Rel-15</w:t>
      </w:r>
      <w:r w:rsidR="00964FE0" w:rsidRPr="005605A3">
        <w:tab/>
        <w:t>NR_newRAT-Core</w:t>
      </w:r>
    </w:p>
    <w:p w14:paraId="492444C7" w14:textId="77777777" w:rsidR="00964FE0" w:rsidRDefault="00964FE0" w:rsidP="00964FE0">
      <w:pPr>
        <w:pStyle w:val="Doc-text2"/>
        <w:ind w:left="0" w:firstLine="0"/>
      </w:pPr>
    </w:p>
    <w:p w14:paraId="0F6F6382" w14:textId="77777777" w:rsidR="00964FE0" w:rsidRDefault="00964FE0" w:rsidP="00964FE0">
      <w:pPr>
        <w:pStyle w:val="Doc-text2"/>
        <w:pBdr>
          <w:top w:val="single" w:sz="4" w:space="1" w:color="auto"/>
          <w:left w:val="single" w:sz="4" w:space="4" w:color="auto"/>
          <w:bottom w:val="single" w:sz="4" w:space="1" w:color="auto"/>
          <w:right w:val="single" w:sz="4" w:space="4" w:color="auto"/>
        </w:pBdr>
      </w:pPr>
      <w:r>
        <w:t>Working assumption:</w:t>
      </w:r>
    </w:p>
    <w:p w14:paraId="3F492434" w14:textId="77777777" w:rsidR="00964FE0" w:rsidRDefault="00964FE0" w:rsidP="00964FE0">
      <w:pPr>
        <w:pStyle w:val="Doc-text2"/>
        <w:pBdr>
          <w:top w:val="single" w:sz="4" w:space="1" w:color="auto"/>
          <w:left w:val="single" w:sz="4" w:space="4" w:color="auto"/>
          <w:bottom w:val="single" w:sz="4" w:space="1" w:color="auto"/>
          <w:right w:val="single" w:sz="4" w:space="4" w:color="auto"/>
        </w:pBdr>
      </w:pPr>
      <w:r>
        <w:t>1</w:t>
      </w:r>
      <w:r>
        <w:tab/>
        <w:t>MSG4 for re-establishment is not encrypted</w:t>
      </w:r>
    </w:p>
    <w:p w14:paraId="73FEBEA5" w14:textId="77777777" w:rsidR="00964FE0" w:rsidRPr="006A7D89" w:rsidRDefault="00964FE0" w:rsidP="00964FE0">
      <w:pPr>
        <w:pStyle w:val="Doc-text2"/>
        <w:pBdr>
          <w:top w:val="single" w:sz="4" w:space="1" w:color="auto"/>
          <w:left w:val="single" w:sz="4" w:space="4" w:color="auto"/>
          <w:bottom w:val="single" w:sz="4" w:space="1" w:color="auto"/>
          <w:right w:val="single" w:sz="4" w:space="4" w:color="auto"/>
        </w:pBdr>
      </w:pPr>
      <w:r>
        <w:t>2</w:t>
      </w:r>
      <w:r>
        <w:tab/>
        <w:t xml:space="preserve">Adopt solution 1 from the paper for re-establishing the bearers (based on </w:t>
      </w:r>
      <w:r w:rsidRPr="006A7D89">
        <w:t>SMC+reconfigurat</w:t>
      </w:r>
      <w:r>
        <w:t>ion)</w:t>
      </w:r>
    </w:p>
    <w:p w14:paraId="1BB2DEF2" w14:textId="77777777" w:rsidR="00007DB8" w:rsidRDefault="00007DB8" w:rsidP="00104121"/>
    <w:p w14:paraId="4727CB3B" w14:textId="719B65D9" w:rsidR="00007DB8" w:rsidRDefault="00007DB8" w:rsidP="00104121">
      <w:r>
        <w:t xml:space="preserve">This paper analyses if the solution meets the SA3 requirements from the LS R2-1806421 </w:t>
      </w:r>
      <w:r w:rsidR="001B4219">
        <w:t>[</w:t>
      </w:r>
      <w:r w:rsidR="00836DC2">
        <w:t>1</w:t>
      </w:r>
      <w:r w:rsidR="001B4219">
        <w:t>]</w:t>
      </w:r>
      <w:r w:rsidR="00836DC2">
        <w:t xml:space="preserve"> </w:t>
      </w:r>
      <w:r>
        <w:t>and concludes the solution fulfils the requirements and that the working assumption above should be confirmed</w:t>
      </w:r>
      <w:r w:rsidR="00836DC2">
        <w:t>.</w:t>
      </w:r>
    </w:p>
    <w:p w14:paraId="3AEED0B9" w14:textId="3017C926" w:rsidR="00964FE0" w:rsidRDefault="00964FE0" w:rsidP="00964FE0">
      <w:pPr>
        <w:pStyle w:val="Heading1"/>
      </w:pPr>
      <w:r>
        <w:t>Working assumption</w:t>
      </w:r>
    </w:p>
    <w:p w14:paraId="55B33632" w14:textId="66F043D5" w:rsidR="00CD7304" w:rsidRPr="00CD7304" w:rsidRDefault="00E32800" w:rsidP="00CD7304">
      <w:r>
        <w:t xml:space="preserve">According to </w:t>
      </w:r>
      <w:hyperlink r:id="rId16" w:tooltip="C:Data3GPPRAN2DocsR2-1806480.zip" w:history="1">
        <w:r w:rsidRPr="00B90BD0">
          <w:rPr>
            <w:rStyle w:val="Hyperlink"/>
          </w:rPr>
          <w:t>R2-1806480</w:t>
        </w:r>
      </w:hyperlink>
      <w:r w:rsidR="00F755DD">
        <w:t xml:space="preserve"> [2] </w:t>
      </w:r>
      <w:r>
        <w:t xml:space="preserve">solution 1 </w:t>
      </w:r>
      <w:r w:rsidR="00EA3A41">
        <w:t xml:space="preserve">from the paper [3] </w:t>
      </w:r>
      <w:r w:rsidR="00CD7304">
        <w:t>is actually not based on SMC+reconfiguration but it does have 2 messages:</w:t>
      </w:r>
    </w:p>
    <w:p w14:paraId="5732FB19" w14:textId="77777777" w:rsidR="00CD7304" w:rsidRDefault="00CD7304" w:rsidP="00CD7304">
      <w:pPr>
        <w:numPr>
          <w:ilvl w:val="0"/>
          <w:numId w:val="22"/>
        </w:numPr>
        <w:spacing w:after="180"/>
      </w:pPr>
      <w:r>
        <w:t>Based on reestablishment message (NCC inside), the UE recovers SRB1 and activates security;</w:t>
      </w:r>
    </w:p>
    <w:p w14:paraId="40B2A430" w14:textId="4F512B5E" w:rsidR="00CD7304" w:rsidRDefault="00CD7304" w:rsidP="00964FE0">
      <w:pPr>
        <w:numPr>
          <w:ilvl w:val="0"/>
          <w:numId w:val="22"/>
        </w:numPr>
        <w:spacing w:after="180"/>
      </w:pPr>
      <w:r>
        <w:t>Based on reconfiguration message, the UE recovers SRB2 and DRB;</w:t>
      </w:r>
    </w:p>
    <w:p w14:paraId="23E6B531" w14:textId="29A0BDC4" w:rsidR="00CD7304" w:rsidRDefault="00E32800" w:rsidP="00964FE0">
      <w:r>
        <w:t xml:space="preserve">The first aspect </w:t>
      </w:r>
      <w:r w:rsidR="00CD7304">
        <w:t xml:space="preserve">that was discussed in RAN2#101bis in Sanya was the fact </w:t>
      </w:r>
      <w:r>
        <w:t>the fact that the RRC Re-establishment message (or kind of message, if preferred) is not encrypted.</w:t>
      </w:r>
      <w:r w:rsidR="00CD7304">
        <w:t xml:space="preserve"> Some companies have argued </w:t>
      </w:r>
      <w:r w:rsidR="00CD7304">
        <w:lastRenderedPageBreak/>
        <w:t xml:space="preserve">that this could introduce potential drawback in terms of processing delay, as the UE has to process two RRC messages. In our view it is correct that this has additional delay compared </w:t>
      </w:r>
      <w:r w:rsidR="005A6716">
        <w:t xml:space="preserve">to </w:t>
      </w:r>
      <w:r w:rsidR="00CD7304" w:rsidRPr="00CD7304">
        <w:rPr>
          <w:i/>
        </w:rPr>
        <w:t>RRCResume</w:t>
      </w:r>
      <w:r w:rsidR="005A6716">
        <w:t>, which can delay the beginning of data transfer.</w:t>
      </w:r>
      <w:r w:rsidR="00CD7304">
        <w:t xml:space="preserve"> However, that </w:t>
      </w:r>
      <w:r w:rsidR="005A6716">
        <w:t xml:space="preserve">could be </w:t>
      </w:r>
      <w:r w:rsidR="00CD7304">
        <w:t xml:space="preserve">acceptable </w:t>
      </w:r>
      <w:r w:rsidR="005A6716">
        <w:t xml:space="preserve">if we </w:t>
      </w:r>
      <w:r w:rsidR="00CD7304">
        <w:t>consider</w:t>
      </w:r>
      <w:r w:rsidR="005A6716">
        <w:t xml:space="preserve"> </w:t>
      </w:r>
      <w:r w:rsidR="00CD7304">
        <w:t xml:space="preserve">that this is a procedure to be executed in a failure case especially considering that there could </w:t>
      </w:r>
      <w:r w:rsidR="009B1CCC">
        <w:t xml:space="preserve">possibly be </w:t>
      </w:r>
      <w:r w:rsidR="00CD7304">
        <w:t>further security implication</w:t>
      </w:r>
      <w:r w:rsidR="009B1CCC">
        <w:t>s</w:t>
      </w:r>
      <w:r w:rsidR="00CD7304">
        <w:t xml:space="preserve"> to enable encryption during re-establishment</w:t>
      </w:r>
      <w:r w:rsidR="009B1CCC">
        <w:t>.</w:t>
      </w:r>
    </w:p>
    <w:p w14:paraId="49935CD3" w14:textId="11FBDF76" w:rsidR="00007DB8" w:rsidRDefault="00007DB8" w:rsidP="00007DB8">
      <w:pPr>
        <w:pStyle w:val="Heading1"/>
      </w:pPr>
      <w:r>
        <w:t>Requirements from SA3 (R2-1806421)</w:t>
      </w:r>
    </w:p>
    <w:p w14:paraId="0D9AB54D" w14:textId="306D4986" w:rsidR="00CD7304" w:rsidRPr="00CD7304" w:rsidRDefault="00CD7304" w:rsidP="00007DB8">
      <w:r>
        <w:t>In RAN2#101bis in Sanya, SA3 has set an LS with security requirements for NR. These can be summarized as follows:</w:t>
      </w:r>
    </w:p>
    <w:p w14:paraId="355CDDD3" w14:textId="67B1085D" w:rsidR="00007DB8" w:rsidRDefault="00007DB8" w:rsidP="00007DB8">
      <w:pPr>
        <w:rPr>
          <w:rFonts w:cs="Arial"/>
        </w:rPr>
      </w:pPr>
      <w:r>
        <w:rPr>
          <w:rFonts w:cs="Arial"/>
        </w:rPr>
        <w:t>1) Security algorithms negotiation between the UE and the target gNB needs to be supported. It is up to RAN2 to decide how the security algorithms negotiation is achieved.</w:t>
      </w:r>
    </w:p>
    <w:p w14:paraId="46B6B2F5" w14:textId="77777777" w:rsidR="00007DB8" w:rsidRDefault="00007DB8" w:rsidP="00007DB8">
      <w:pPr>
        <w:rPr>
          <w:rFonts w:cs="Arial"/>
        </w:rPr>
      </w:pPr>
      <w:r>
        <w:rPr>
          <w:rFonts w:cs="Arial"/>
        </w:rPr>
        <w:t>2) 2-hop forward security in all handover and mobility scenarios shall be maintained. It is not clear to SA3 how it is achieved. Please refer to TS33.501 for 2-hop forward security definition.</w:t>
      </w:r>
    </w:p>
    <w:p w14:paraId="69FC2988" w14:textId="77777777" w:rsidR="00007DB8" w:rsidRDefault="00007DB8" w:rsidP="00007DB8">
      <w:pPr>
        <w:rPr>
          <w:rFonts w:cs="Arial"/>
          <w:bCs/>
        </w:rPr>
      </w:pPr>
      <w:r>
        <w:rPr>
          <w:rFonts w:cs="Arial"/>
          <w:bCs/>
        </w:rPr>
        <w:t>3) Any RRC message which contains a new I-RNTI is to be ciphered and integrity protected.</w:t>
      </w:r>
    </w:p>
    <w:p w14:paraId="6C3CDFAC" w14:textId="678F314F" w:rsidR="002B05A3" w:rsidRDefault="002B05A3" w:rsidP="002B05A3">
      <w:pPr>
        <w:pStyle w:val="Heading2"/>
      </w:pPr>
      <w:r>
        <w:t>Algorithm change</w:t>
      </w:r>
    </w:p>
    <w:p w14:paraId="19231D03" w14:textId="6E7AE27E" w:rsidR="002B05A3" w:rsidRDefault="002B05A3" w:rsidP="002B05A3">
      <w:r>
        <w:t xml:space="preserve">Currently in LTE it is not possible to change the security algorithm in the Re-establishment procedure. It is assumed this functionality is not needed since changing algorithms are a rare case and it should be possible for the target node to either use </w:t>
      </w:r>
      <w:r w:rsidRPr="002B05A3">
        <w:rPr>
          <w:i/>
        </w:rPr>
        <w:t>RRCReestablishmentReject</w:t>
      </w:r>
      <w:r>
        <w:t xml:space="preserve"> or to accept the UE into the cell with an </w:t>
      </w:r>
      <w:r w:rsidRPr="002B05A3">
        <w:rPr>
          <w:i/>
        </w:rPr>
        <w:t>RRCReestablishment</w:t>
      </w:r>
      <w:r>
        <w:t xml:space="preserve"> but then perform a subsequent algorithm change using handover.</w:t>
      </w:r>
    </w:p>
    <w:p w14:paraId="012BF56C" w14:textId="72C5628F" w:rsidR="00CD7304" w:rsidRDefault="008759CA" w:rsidP="008759CA">
      <w:r>
        <w:t xml:space="preserve">Similar solution can be achieved by the working assumption either by accepting the </w:t>
      </w:r>
      <w:r w:rsidR="009B1CCC">
        <w:t xml:space="preserve">request </w:t>
      </w:r>
      <w:r>
        <w:t>as in LTE or responding with an RRC Setup, as agreed in RAN2#101bis.</w:t>
      </w:r>
    </w:p>
    <w:p w14:paraId="1D0D6EF9" w14:textId="06F49041" w:rsidR="008759CA" w:rsidRDefault="008759CA" w:rsidP="006C2E36">
      <w:pPr>
        <w:pStyle w:val="Observation"/>
      </w:pPr>
      <w:bookmarkStart w:id="1" w:name="_Toc513710342"/>
      <w:bookmarkStart w:id="2" w:name="_Toc513547143"/>
      <w:bookmarkStart w:id="3" w:name="_Toc513547230"/>
      <w:r>
        <w:t>Re-establishment</w:t>
      </w:r>
      <w:r w:rsidR="009B1CCC">
        <w:t xml:space="preserve"> </w:t>
      </w:r>
      <w:r>
        <w:t xml:space="preserve">working assumption can support algorithm changing by responding the </w:t>
      </w:r>
      <w:r w:rsidR="005A6716">
        <w:t>RRC R</w:t>
      </w:r>
      <w:r w:rsidR="009B1CCC">
        <w:t xml:space="preserve">e-establishment </w:t>
      </w:r>
      <w:r w:rsidR="005A6716">
        <w:t>R</w:t>
      </w:r>
      <w:r>
        <w:t>equest with an RRC Setup.</w:t>
      </w:r>
      <w:bookmarkEnd w:id="1"/>
    </w:p>
    <w:bookmarkEnd w:id="2"/>
    <w:bookmarkEnd w:id="3"/>
    <w:p w14:paraId="180B9D02" w14:textId="43EE2C5A" w:rsidR="002B05A3" w:rsidRDefault="002B05A3" w:rsidP="002B05A3">
      <w:pPr>
        <w:pStyle w:val="Heading2"/>
      </w:pPr>
      <w:r>
        <w:t>2-hop forward security</w:t>
      </w:r>
    </w:p>
    <w:p w14:paraId="1A08B321" w14:textId="32DAB3BA" w:rsidR="002B05A3" w:rsidRDefault="002B05A3" w:rsidP="002B05A3">
      <w:r>
        <w:t xml:space="preserve">Given that the solution part of the working assumption makes it possible to provide the UE with a “fresh” NCC value in the </w:t>
      </w:r>
      <w:r w:rsidRPr="002B05A3">
        <w:rPr>
          <w:i/>
        </w:rPr>
        <w:t>RRCReestablishment</w:t>
      </w:r>
      <w:r>
        <w:t xml:space="preserve"> message</w:t>
      </w:r>
      <w:r w:rsidR="005A6716">
        <w:t>,</w:t>
      </w:r>
      <w:r>
        <w:t xml:space="preserve"> the 2-hop solution can be fulfilled in the same way as LTE. </w:t>
      </w:r>
    </w:p>
    <w:p w14:paraId="4DF6AE85" w14:textId="77777777" w:rsidR="002B05A3" w:rsidRDefault="002B05A3" w:rsidP="002B05A3">
      <w:r>
        <w:t>The solution part of the working assumption would be similar to LTE in this case.</w:t>
      </w:r>
    </w:p>
    <w:p w14:paraId="5BF1A05A" w14:textId="7BDECDED" w:rsidR="002B05A3" w:rsidRDefault="006C2E36" w:rsidP="006C2E36">
      <w:pPr>
        <w:pStyle w:val="Observation"/>
      </w:pPr>
      <w:bookmarkStart w:id="4" w:name="_Toc513547144"/>
      <w:bookmarkStart w:id="5" w:name="_Toc513547231"/>
      <w:bookmarkStart w:id="6" w:name="_Toc513710343"/>
      <w:r>
        <w:t xml:space="preserve">The current working assumption to use separate </w:t>
      </w:r>
      <w:r w:rsidRPr="005A6716">
        <w:rPr>
          <w:i/>
        </w:rPr>
        <w:t>RRCReestablishme</w:t>
      </w:r>
      <w:r w:rsidR="005A6716">
        <w:rPr>
          <w:i/>
        </w:rPr>
        <w:t>n</w:t>
      </w:r>
      <w:r w:rsidRPr="005A6716">
        <w:rPr>
          <w:i/>
        </w:rPr>
        <w:t>t</w:t>
      </w:r>
      <w:r>
        <w:t xml:space="preserve"> and </w:t>
      </w:r>
      <w:r w:rsidRPr="005A6716">
        <w:rPr>
          <w:i/>
        </w:rPr>
        <w:t>RRCReconfiguration</w:t>
      </w:r>
      <w:r>
        <w:t xml:space="preserve"> messages meets the 2-hop security requirements.</w:t>
      </w:r>
      <w:bookmarkEnd w:id="4"/>
      <w:bookmarkEnd w:id="5"/>
      <w:bookmarkEnd w:id="6"/>
    </w:p>
    <w:p w14:paraId="571EF557" w14:textId="0B2089E5" w:rsidR="002B05A3" w:rsidRDefault="002B05A3" w:rsidP="002B05A3">
      <w:pPr>
        <w:pStyle w:val="Heading2"/>
      </w:pPr>
      <w:r>
        <w:t>I-RNTI</w:t>
      </w:r>
    </w:p>
    <w:p w14:paraId="1103F6B5" w14:textId="030E2AB2" w:rsidR="002B05A3" w:rsidRDefault="00FF1802" w:rsidP="002B05A3">
      <w:r>
        <w:t>Since the I-RNTI</w:t>
      </w:r>
      <w:r w:rsidR="006C2E36">
        <w:t xml:space="preserve"> is currently only assigned in the suspend message there is no issue to use the current working assumption. </w:t>
      </w:r>
    </w:p>
    <w:p w14:paraId="30D0B7ED" w14:textId="5FEAAC58" w:rsidR="003742AC" w:rsidRDefault="006C2E36" w:rsidP="006C2E36">
      <w:pPr>
        <w:pStyle w:val="Heading1"/>
      </w:pPr>
      <w:r>
        <w:t>Way forward</w:t>
      </w:r>
    </w:p>
    <w:p w14:paraId="1A3335C9" w14:textId="18B71AE7" w:rsidR="006C2E36" w:rsidRDefault="006C2E36" w:rsidP="006E062C">
      <w:r>
        <w:t>Given that the solution can meet the SA3 requirements</w:t>
      </w:r>
      <w:r w:rsidR="005A6716">
        <w:t xml:space="preserve">, if RAN2 concludes that the potential performance drawbacks in terms of processing delay are acceptable (as re-establishment is a procedure executed in a failure case), </w:t>
      </w:r>
      <w:r>
        <w:t xml:space="preserve">it is proposed that we should confirm the working assumption. </w:t>
      </w:r>
    </w:p>
    <w:p w14:paraId="786F5842" w14:textId="0A8E954F" w:rsidR="006C2E36" w:rsidRPr="00CE0424" w:rsidRDefault="00ED41F8" w:rsidP="006C2E36">
      <w:pPr>
        <w:pStyle w:val="Proposal"/>
      </w:pPr>
      <w:bookmarkStart w:id="7" w:name="_Toc513547228"/>
      <w:bookmarkStart w:id="8" w:name="_Toc513710346"/>
      <w:r>
        <w:t xml:space="preserve">Confirm the </w:t>
      </w:r>
      <w:r w:rsidR="006C2E36">
        <w:t xml:space="preserve">RAN2 working assumption to use separate </w:t>
      </w:r>
      <w:r w:rsidR="006C2E36" w:rsidRPr="005A6716">
        <w:rPr>
          <w:i/>
        </w:rPr>
        <w:t>RRCReestablish</w:t>
      </w:r>
      <w:r>
        <w:rPr>
          <w:i/>
        </w:rPr>
        <w:t>ment</w:t>
      </w:r>
      <w:r w:rsidR="006C2E36">
        <w:t xml:space="preserve"> (starting security) and </w:t>
      </w:r>
      <w:r w:rsidR="006C2E36" w:rsidRPr="005A6716">
        <w:rPr>
          <w:i/>
        </w:rPr>
        <w:t>RRCReconfiguration</w:t>
      </w:r>
      <w:r w:rsidR="006C2E36">
        <w:t xml:space="preserve"> (starting SRB2/DRBs) message</w:t>
      </w:r>
      <w:r>
        <w:t>s</w:t>
      </w:r>
      <w:r w:rsidR="006C2E36">
        <w:t>.</w:t>
      </w:r>
      <w:bookmarkEnd w:id="7"/>
      <w:bookmarkEnd w:id="8"/>
      <w:r w:rsidR="006C2E36">
        <w:t xml:space="preserve"> </w:t>
      </w:r>
    </w:p>
    <w:p w14:paraId="522CD7E3" w14:textId="2894D9AC" w:rsidR="00C01F33" w:rsidRDefault="00C01F33" w:rsidP="00CE0424">
      <w:pPr>
        <w:pStyle w:val="Heading1"/>
      </w:pPr>
      <w:r w:rsidRPr="00CE0424">
        <w:t>Conclusion</w:t>
      </w:r>
    </w:p>
    <w:p w14:paraId="52E23956" w14:textId="77777777" w:rsidR="006F2D29"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BBE8796" w14:textId="77777777" w:rsidR="006F2D29" w:rsidRDefault="006F2D29">
      <w:pPr>
        <w:pStyle w:val="TOC1"/>
        <w:rPr>
          <w:rFonts w:asciiTheme="minorHAnsi" w:eastAsiaTheme="minorEastAsia" w:hAnsiTheme="minorHAnsi" w:cstheme="minorBidi"/>
          <w:b w:val="0"/>
          <w:sz w:val="22"/>
          <w:lang w:val="en-GB" w:eastAsia="en-GB"/>
        </w:rPr>
      </w:pPr>
      <w:r>
        <w:t>Observation 1</w:t>
      </w:r>
      <w:r>
        <w:rPr>
          <w:rFonts w:asciiTheme="minorHAnsi" w:eastAsiaTheme="minorEastAsia" w:hAnsiTheme="minorHAnsi" w:cstheme="minorBidi"/>
          <w:b w:val="0"/>
          <w:sz w:val="22"/>
          <w:lang w:val="en-GB" w:eastAsia="en-GB"/>
        </w:rPr>
        <w:tab/>
      </w:r>
      <w:r>
        <w:t>Re-establishment working assumption can support algorithm changing by responding the RRC Re-establishment Request with an RRC Setup.</w:t>
      </w:r>
    </w:p>
    <w:p w14:paraId="67645C2F" w14:textId="77777777" w:rsidR="006F2D29" w:rsidRDefault="006F2D29">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t xml:space="preserve">The current working assumption to use separate </w:t>
      </w:r>
      <w:r w:rsidRPr="00667650">
        <w:rPr>
          <w:i/>
        </w:rPr>
        <w:t>RRCReestablishment</w:t>
      </w:r>
      <w:r>
        <w:t xml:space="preserve"> and </w:t>
      </w:r>
      <w:r w:rsidRPr="00667650">
        <w:rPr>
          <w:i/>
        </w:rPr>
        <w:t>RRCReconfiguration</w:t>
      </w:r>
      <w:r>
        <w:t xml:space="preserve"> messages meets the 2-hop security requirements.</w:t>
      </w:r>
    </w:p>
    <w:p w14:paraId="38918974" w14:textId="77777777" w:rsidR="008E065E" w:rsidRDefault="008E065E" w:rsidP="008E065E">
      <w:pPr>
        <w:pStyle w:val="BodyText"/>
        <w:rPr>
          <w:b/>
          <w:bCs/>
        </w:rPr>
      </w:pPr>
      <w:r>
        <w:rPr>
          <w:b/>
          <w:bCs/>
        </w:rPr>
        <w:fldChar w:fldCharType="end"/>
      </w:r>
    </w:p>
    <w:p w14:paraId="768E143B" w14:textId="77777777" w:rsidR="006F2D29"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3AB0A8D" w14:textId="77777777" w:rsidR="006F2D29" w:rsidRDefault="006F2D29">
      <w:pPr>
        <w:pStyle w:val="TOC1"/>
        <w:rPr>
          <w:rFonts w:asciiTheme="minorHAnsi" w:eastAsiaTheme="minorEastAsia" w:hAnsiTheme="minorHAnsi" w:cstheme="minorBidi"/>
          <w:b w:val="0"/>
          <w:sz w:val="22"/>
          <w:lang w:val="en-GB" w:eastAsia="en-GB"/>
        </w:rPr>
      </w:pPr>
      <w:r>
        <w:t>Proposal 1</w:t>
      </w:r>
      <w:r>
        <w:rPr>
          <w:rFonts w:asciiTheme="minorHAnsi" w:eastAsiaTheme="minorEastAsia" w:hAnsiTheme="minorHAnsi" w:cstheme="minorBidi"/>
          <w:b w:val="0"/>
          <w:sz w:val="22"/>
          <w:lang w:val="en-GB" w:eastAsia="en-GB"/>
        </w:rPr>
        <w:tab/>
      </w:r>
      <w:r>
        <w:t xml:space="preserve">Confirm the RAN2 working assumption to use separate </w:t>
      </w:r>
      <w:r w:rsidRPr="000D0549">
        <w:rPr>
          <w:i/>
        </w:rPr>
        <w:t>RRCReestablishment</w:t>
      </w:r>
      <w:r>
        <w:t xml:space="preserve"> (starting security) and </w:t>
      </w:r>
      <w:r w:rsidRPr="000D0549">
        <w:rPr>
          <w:i/>
        </w:rPr>
        <w:t>RRCReconfiguration</w:t>
      </w:r>
      <w:r>
        <w:t xml:space="preserve"> (starting SRB2/DRBs) messages.</w:t>
      </w:r>
    </w:p>
    <w:p w14:paraId="5C6E36BA" w14:textId="19DD0122" w:rsidR="00C01F33" w:rsidRPr="004502D4" w:rsidRDefault="008E065E" w:rsidP="006E062C">
      <w:pPr>
        <w:rPr>
          <w:b/>
          <w:bCs/>
        </w:rPr>
      </w:pPr>
      <w:r>
        <w:rPr>
          <w:b/>
          <w:bCs/>
        </w:rPr>
        <w:fldChar w:fldCharType="end"/>
      </w:r>
    </w:p>
    <w:p w14:paraId="0B366EDE" w14:textId="77777777" w:rsidR="00F507D1" w:rsidRPr="00CE0424" w:rsidRDefault="00F507D1" w:rsidP="00CE0424">
      <w:pPr>
        <w:pStyle w:val="Heading1"/>
      </w:pPr>
      <w:bookmarkStart w:id="9" w:name="_In-sequence_SDU_delivery"/>
      <w:bookmarkEnd w:id="9"/>
      <w:r w:rsidRPr="00CE0424">
        <w:t>References</w:t>
      </w:r>
    </w:p>
    <w:bookmarkStart w:id="10" w:name="_Ref174151459"/>
    <w:bookmarkStart w:id="11" w:name="_Ref189809556"/>
    <w:p w14:paraId="3DD3ABEA" w14:textId="5BE8AE7B" w:rsidR="00690B71" w:rsidRDefault="001A21B2" w:rsidP="00690B71">
      <w:pPr>
        <w:pStyle w:val="Reference"/>
      </w:pPr>
      <w:r>
        <w:fldChar w:fldCharType="begin"/>
      </w:r>
      <w:r>
        <w:instrText xml:space="preserve"> HYPERLINK "file:///C:\\Data\\3GPP\\Extracts\\R2-1806421_S3-181450.doc" \o "C:Data3GPPExtractsR2-1806421_S3-181450.doc" </w:instrText>
      </w:r>
      <w:r>
        <w:fldChar w:fldCharType="separate"/>
      </w:r>
      <w:r w:rsidRPr="00267E19">
        <w:rPr>
          <w:rStyle w:val="Hyperlink"/>
        </w:rPr>
        <w:t>R2-1806421</w:t>
      </w:r>
      <w:r>
        <w:rPr>
          <w:rStyle w:val="Hyperlink"/>
        </w:rPr>
        <w:fldChar w:fldCharType="end"/>
      </w:r>
      <w:r>
        <w:t xml:space="preserve">, Reply LS on security for inactive state (S3-181450; contact: Huawei), </w:t>
      </w:r>
      <w:r w:rsidR="00F755DD" w:rsidRPr="00F755DD">
        <w:t>RAN WG2 #101bis, Sanya, P.R. of China, 16th – 20th April 2018.</w:t>
      </w:r>
    </w:p>
    <w:p w14:paraId="598B3861" w14:textId="0079EC5E" w:rsidR="00690B71" w:rsidRDefault="00A500CA" w:rsidP="00665978">
      <w:pPr>
        <w:pStyle w:val="Reference"/>
      </w:pPr>
      <w:hyperlink r:id="rId17" w:tooltip="C:Data3GPPRAN2DocsR2-1806480.zip" w:history="1">
        <w:r w:rsidR="00F755DD" w:rsidRPr="00B90BD0">
          <w:rPr>
            <w:rStyle w:val="Hyperlink"/>
          </w:rPr>
          <w:t>R2-1806480</w:t>
        </w:r>
      </w:hyperlink>
      <w:r w:rsidR="00F755DD">
        <w:t xml:space="preserve">, </w:t>
      </w:r>
      <w:r w:rsidR="00690B71" w:rsidRPr="005605A3">
        <w:t>Offline discussion #42 on Reestablishment procedure for NR</w:t>
      </w:r>
      <w:r w:rsidR="00690B71">
        <w:t xml:space="preserve">, </w:t>
      </w:r>
      <w:r w:rsidR="00690B71" w:rsidRPr="005605A3">
        <w:t>Intel</w:t>
      </w:r>
      <w:r w:rsidR="00690B71">
        <w:t xml:space="preserve">, </w:t>
      </w:r>
      <w:r w:rsidR="00690B71" w:rsidRPr="00F755DD">
        <w:t>RAN WG2 #101bis, Sanya, P.R. of China, 16th – 20th April 2018.</w:t>
      </w:r>
    </w:p>
    <w:p w14:paraId="0260081F" w14:textId="207F46C9" w:rsidR="003A7EF3" w:rsidRPr="00CE0424" w:rsidRDefault="00A500CA" w:rsidP="00CE0424">
      <w:pPr>
        <w:pStyle w:val="Reference"/>
      </w:pPr>
      <w:hyperlink r:id="rId18" w:tooltip="C:Data3GPPExtractsR2-1804804 - NR re-establishment procedure principles.docx" w:history="1">
        <w:r w:rsidR="00044186" w:rsidRPr="00267E19">
          <w:rPr>
            <w:rStyle w:val="Hyperlink"/>
          </w:rPr>
          <w:t>R2-1804804</w:t>
        </w:r>
      </w:hyperlink>
      <w:r w:rsidR="00044186">
        <w:rPr>
          <w:rStyle w:val="Hyperlink"/>
        </w:rPr>
        <w:t>,</w:t>
      </w:r>
      <w:r w:rsidR="00044186">
        <w:t xml:space="preserve"> NR re-establishment procedure principles, Ericsson, </w:t>
      </w:r>
      <w:r w:rsidR="00044186" w:rsidRPr="00F755DD">
        <w:t>RAN WG2 #101bis, Sanya, P.R. of China, 16th – 20th April 2018.</w:t>
      </w:r>
      <w:bookmarkEnd w:id="10"/>
      <w:bookmarkEnd w:id="11"/>
    </w:p>
    <w:sectPr w:rsidR="003A7EF3" w:rsidRPr="00CE0424">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86463" w14:textId="77777777" w:rsidR="009859DC" w:rsidRDefault="009859DC">
      <w:r>
        <w:separator/>
      </w:r>
    </w:p>
  </w:endnote>
  <w:endnote w:type="continuationSeparator" w:id="0">
    <w:p w14:paraId="62DCE065" w14:textId="77777777" w:rsidR="009859DC" w:rsidRDefault="00985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2A50A224" w:rsidR="009B1CCC" w:rsidRDefault="009B1C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12A7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12A7D">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E64C0" w14:textId="77777777" w:rsidR="009859DC" w:rsidRDefault="009859DC">
      <w:r>
        <w:separator/>
      </w:r>
    </w:p>
  </w:footnote>
  <w:footnote w:type="continuationSeparator" w:id="0">
    <w:p w14:paraId="22C5ABE9" w14:textId="77777777" w:rsidR="009859DC" w:rsidRDefault="00985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B1CCC" w:rsidRDefault="009B1C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CE74DC5"/>
    <w:multiLevelType w:val="hybridMultilevel"/>
    <w:tmpl w:val="FAC27192"/>
    <w:lvl w:ilvl="0" w:tplc="5FE06A42">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CD02A1"/>
    <w:multiLevelType w:val="hybridMultilevel"/>
    <w:tmpl w:val="9CAE50E4"/>
    <w:lvl w:ilvl="0" w:tplc="6E7270CC">
      <w:numFmt w:val="bullet"/>
      <w:lvlText w:val="-"/>
      <w:lvlJc w:val="left"/>
      <w:pPr>
        <w:ind w:left="1080" w:hanging="360"/>
      </w:pPr>
      <w:rPr>
        <w:rFonts w:ascii="Calibri" w:eastAsia="Calibri" w:hAnsi="Calibri"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0831D5A"/>
    <w:multiLevelType w:val="hybridMultilevel"/>
    <w:tmpl w:val="64A21D7A"/>
    <w:lvl w:ilvl="0" w:tplc="48962268">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E05044"/>
    <w:multiLevelType w:val="hybridMultilevel"/>
    <w:tmpl w:val="F3B0581E"/>
    <w:lvl w:ilvl="0" w:tplc="316209F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71B27A6"/>
    <w:multiLevelType w:val="hybridMultilevel"/>
    <w:tmpl w:val="6C86F3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D89539E"/>
    <w:multiLevelType w:val="hybridMultilevel"/>
    <w:tmpl w:val="0CE2762A"/>
    <w:lvl w:ilvl="0" w:tplc="7C10E0F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0"/>
  </w:num>
  <w:num w:numId="4">
    <w:abstractNumId w:val="11"/>
  </w:num>
  <w:num w:numId="5">
    <w:abstractNumId w:val="7"/>
  </w:num>
  <w:num w:numId="6">
    <w:abstractNumId w:val="13"/>
  </w:num>
  <w:num w:numId="7">
    <w:abstractNumId w:val="17"/>
  </w:num>
  <w:num w:numId="8">
    <w:abstractNumId w:val="8"/>
  </w:num>
  <w:num w:numId="9">
    <w:abstractNumId w:val="5"/>
  </w:num>
  <w:num w:numId="10">
    <w:abstractNumId w:val="3"/>
  </w:num>
  <w:num w:numId="11">
    <w:abstractNumId w:val="2"/>
  </w:num>
  <w:num w:numId="12">
    <w:abstractNumId w:val="1"/>
  </w:num>
  <w:num w:numId="13">
    <w:abstractNumId w:val="15"/>
  </w:num>
  <w:num w:numId="14">
    <w:abstractNumId w:val="0"/>
  </w:num>
  <w:num w:numId="15">
    <w:abstractNumId w:val="19"/>
  </w:num>
  <w:num w:numId="16">
    <w:abstractNumId w:val="16"/>
  </w:num>
  <w:num w:numId="17">
    <w:abstractNumId w:val="6"/>
  </w:num>
  <w:num w:numId="18">
    <w:abstractNumId w:val="20"/>
  </w:num>
  <w:num w:numId="19">
    <w:abstractNumId w:val="9"/>
  </w:num>
  <w:num w:numId="20">
    <w:abstractNumId w:val="21"/>
  </w:num>
  <w:num w:numId="21">
    <w:abstractNumId w:val="12"/>
  </w:num>
  <w:num w:numId="2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9F4"/>
    <w:rsid w:val="00006446"/>
    <w:rsid w:val="00006896"/>
    <w:rsid w:val="00007CDC"/>
    <w:rsid w:val="00007DB8"/>
    <w:rsid w:val="00010688"/>
    <w:rsid w:val="00011B28"/>
    <w:rsid w:val="000151AE"/>
    <w:rsid w:val="00015D15"/>
    <w:rsid w:val="0002564D"/>
    <w:rsid w:val="00025ECA"/>
    <w:rsid w:val="000325B8"/>
    <w:rsid w:val="00034C15"/>
    <w:rsid w:val="00036BA1"/>
    <w:rsid w:val="000422E2"/>
    <w:rsid w:val="00042F22"/>
    <w:rsid w:val="00044186"/>
    <w:rsid w:val="000444EF"/>
    <w:rsid w:val="00052A07"/>
    <w:rsid w:val="000534E3"/>
    <w:rsid w:val="0005606A"/>
    <w:rsid w:val="00057117"/>
    <w:rsid w:val="000616E7"/>
    <w:rsid w:val="0006487E"/>
    <w:rsid w:val="00065E1A"/>
    <w:rsid w:val="00073B71"/>
    <w:rsid w:val="00077E5F"/>
    <w:rsid w:val="0008036A"/>
    <w:rsid w:val="00081AE6"/>
    <w:rsid w:val="000855EB"/>
    <w:rsid w:val="00085B52"/>
    <w:rsid w:val="000866F2"/>
    <w:rsid w:val="0009009F"/>
    <w:rsid w:val="00091557"/>
    <w:rsid w:val="000924C1"/>
    <w:rsid w:val="000924F0"/>
    <w:rsid w:val="00093474"/>
    <w:rsid w:val="0009510F"/>
    <w:rsid w:val="00095733"/>
    <w:rsid w:val="000A1B7B"/>
    <w:rsid w:val="000A56F2"/>
    <w:rsid w:val="000B0835"/>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4121"/>
    <w:rsid w:val="001062FB"/>
    <w:rsid w:val="001063E6"/>
    <w:rsid w:val="00113CF4"/>
    <w:rsid w:val="001153EA"/>
    <w:rsid w:val="00115643"/>
    <w:rsid w:val="001164BB"/>
    <w:rsid w:val="00116765"/>
    <w:rsid w:val="001219F5"/>
    <w:rsid w:val="00121A20"/>
    <w:rsid w:val="0012377F"/>
    <w:rsid w:val="00124314"/>
    <w:rsid w:val="00126B4A"/>
    <w:rsid w:val="00127D11"/>
    <w:rsid w:val="00132FD0"/>
    <w:rsid w:val="001344C0"/>
    <w:rsid w:val="001346FA"/>
    <w:rsid w:val="00135252"/>
    <w:rsid w:val="00137AB5"/>
    <w:rsid w:val="00137F0B"/>
    <w:rsid w:val="001461C6"/>
    <w:rsid w:val="001511E9"/>
    <w:rsid w:val="00151E23"/>
    <w:rsid w:val="001526E0"/>
    <w:rsid w:val="001551B5"/>
    <w:rsid w:val="001659C1"/>
    <w:rsid w:val="00173A8E"/>
    <w:rsid w:val="00177795"/>
    <w:rsid w:val="0018143F"/>
    <w:rsid w:val="00190885"/>
    <w:rsid w:val="00190AC1"/>
    <w:rsid w:val="0019341A"/>
    <w:rsid w:val="00197DF9"/>
    <w:rsid w:val="001A1987"/>
    <w:rsid w:val="001A21B2"/>
    <w:rsid w:val="001A2564"/>
    <w:rsid w:val="001A6173"/>
    <w:rsid w:val="001A6CBA"/>
    <w:rsid w:val="001B0D97"/>
    <w:rsid w:val="001B2516"/>
    <w:rsid w:val="001B4219"/>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28B2"/>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05A3"/>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63C8F"/>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6D8B"/>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02D4"/>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2E9C"/>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007C"/>
    <w:rsid w:val="00546970"/>
    <w:rsid w:val="00554E19"/>
    <w:rsid w:val="0056121F"/>
    <w:rsid w:val="00572505"/>
    <w:rsid w:val="00582809"/>
    <w:rsid w:val="0058798C"/>
    <w:rsid w:val="005900FA"/>
    <w:rsid w:val="005935A4"/>
    <w:rsid w:val="005948C2"/>
    <w:rsid w:val="00595DCA"/>
    <w:rsid w:val="0059779B"/>
    <w:rsid w:val="005A209A"/>
    <w:rsid w:val="005A662D"/>
    <w:rsid w:val="005A6716"/>
    <w:rsid w:val="005B35D7"/>
    <w:rsid w:val="005B392A"/>
    <w:rsid w:val="005B3AA3"/>
    <w:rsid w:val="005B591A"/>
    <w:rsid w:val="005B6F83"/>
    <w:rsid w:val="005C74FB"/>
    <w:rsid w:val="005D1602"/>
    <w:rsid w:val="005E03C7"/>
    <w:rsid w:val="005E385F"/>
    <w:rsid w:val="005E5B81"/>
    <w:rsid w:val="005F2CB1"/>
    <w:rsid w:val="005F3025"/>
    <w:rsid w:val="005F6161"/>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6E5"/>
    <w:rsid w:val="0066011D"/>
    <w:rsid w:val="006607C0"/>
    <w:rsid w:val="00660D35"/>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0B71"/>
    <w:rsid w:val="00695FC2"/>
    <w:rsid w:val="0069644D"/>
    <w:rsid w:val="00696949"/>
    <w:rsid w:val="00697052"/>
    <w:rsid w:val="006A46FB"/>
    <w:rsid w:val="006A5E28"/>
    <w:rsid w:val="006A697B"/>
    <w:rsid w:val="006A7AFF"/>
    <w:rsid w:val="006B1816"/>
    <w:rsid w:val="006B2099"/>
    <w:rsid w:val="006B50CF"/>
    <w:rsid w:val="006B730B"/>
    <w:rsid w:val="006C03B8"/>
    <w:rsid w:val="006C2E36"/>
    <w:rsid w:val="006C5EC9"/>
    <w:rsid w:val="006C6059"/>
    <w:rsid w:val="006C7522"/>
    <w:rsid w:val="006D1E26"/>
    <w:rsid w:val="006D6F08"/>
    <w:rsid w:val="006E062C"/>
    <w:rsid w:val="006E28B7"/>
    <w:rsid w:val="006E3310"/>
    <w:rsid w:val="006E4E39"/>
    <w:rsid w:val="006E565E"/>
    <w:rsid w:val="006E673D"/>
    <w:rsid w:val="006E7D3B"/>
    <w:rsid w:val="006F1B70"/>
    <w:rsid w:val="006F2D29"/>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5B98"/>
    <w:rsid w:val="007C60BF"/>
    <w:rsid w:val="007C6A07"/>
    <w:rsid w:val="007C75A1"/>
    <w:rsid w:val="007C77A5"/>
    <w:rsid w:val="007D04E5"/>
    <w:rsid w:val="007D5901"/>
    <w:rsid w:val="007D6CA6"/>
    <w:rsid w:val="007D7526"/>
    <w:rsid w:val="007E4610"/>
    <w:rsid w:val="007E4715"/>
    <w:rsid w:val="007E505B"/>
    <w:rsid w:val="007E7091"/>
    <w:rsid w:val="00803FAE"/>
    <w:rsid w:val="0080605F"/>
    <w:rsid w:val="00807786"/>
    <w:rsid w:val="00811FCB"/>
    <w:rsid w:val="008158D6"/>
    <w:rsid w:val="00817196"/>
    <w:rsid w:val="008235DB"/>
    <w:rsid w:val="00823C32"/>
    <w:rsid w:val="00824AB4"/>
    <w:rsid w:val="00825C42"/>
    <w:rsid w:val="00825D25"/>
    <w:rsid w:val="00827D6F"/>
    <w:rsid w:val="00836DC2"/>
    <w:rsid w:val="008376AC"/>
    <w:rsid w:val="008444E8"/>
    <w:rsid w:val="00844E80"/>
    <w:rsid w:val="00846FE7"/>
    <w:rsid w:val="00854F97"/>
    <w:rsid w:val="00856911"/>
    <w:rsid w:val="008677FD"/>
    <w:rsid w:val="008706D4"/>
    <w:rsid w:val="00870F8A"/>
    <w:rsid w:val="008719A4"/>
    <w:rsid w:val="00871D23"/>
    <w:rsid w:val="00874312"/>
    <w:rsid w:val="0087437C"/>
    <w:rsid w:val="008759CA"/>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4FE0"/>
    <w:rsid w:val="0096554B"/>
    <w:rsid w:val="0096584A"/>
    <w:rsid w:val="00971F08"/>
    <w:rsid w:val="0097603D"/>
    <w:rsid w:val="00976949"/>
    <w:rsid w:val="00980477"/>
    <w:rsid w:val="00985253"/>
    <w:rsid w:val="009853B3"/>
    <w:rsid w:val="009859DC"/>
    <w:rsid w:val="00990630"/>
    <w:rsid w:val="00991761"/>
    <w:rsid w:val="00994DCA"/>
    <w:rsid w:val="009960EC"/>
    <w:rsid w:val="009970DD"/>
    <w:rsid w:val="009A0FBA"/>
    <w:rsid w:val="009A1601"/>
    <w:rsid w:val="009A462D"/>
    <w:rsid w:val="009A5CBA"/>
    <w:rsid w:val="009B1CCC"/>
    <w:rsid w:val="009B1F30"/>
    <w:rsid w:val="009B3AC2"/>
    <w:rsid w:val="009B4DF4"/>
    <w:rsid w:val="009B54AD"/>
    <w:rsid w:val="009B564E"/>
    <w:rsid w:val="009B7E87"/>
    <w:rsid w:val="009C1BA7"/>
    <w:rsid w:val="009C403E"/>
    <w:rsid w:val="009D4FF0"/>
    <w:rsid w:val="009D703C"/>
    <w:rsid w:val="009D718F"/>
    <w:rsid w:val="009E068F"/>
    <w:rsid w:val="009E14E0"/>
    <w:rsid w:val="009E35DB"/>
    <w:rsid w:val="009E47A3"/>
    <w:rsid w:val="009E7268"/>
    <w:rsid w:val="009F08F3"/>
    <w:rsid w:val="009F344F"/>
    <w:rsid w:val="00A048A8"/>
    <w:rsid w:val="00A04F49"/>
    <w:rsid w:val="00A12A7D"/>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AF7F82"/>
    <w:rsid w:val="00B006FE"/>
    <w:rsid w:val="00B007CB"/>
    <w:rsid w:val="00B02AA9"/>
    <w:rsid w:val="00B02FA3"/>
    <w:rsid w:val="00B05084"/>
    <w:rsid w:val="00B157F9"/>
    <w:rsid w:val="00B20256"/>
    <w:rsid w:val="00B20D09"/>
    <w:rsid w:val="00B2763F"/>
    <w:rsid w:val="00B27AAC"/>
    <w:rsid w:val="00B30929"/>
    <w:rsid w:val="00B34996"/>
    <w:rsid w:val="00B372AA"/>
    <w:rsid w:val="00B40445"/>
    <w:rsid w:val="00B41888"/>
    <w:rsid w:val="00B45A52"/>
    <w:rsid w:val="00B46175"/>
    <w:rsid w:val="00B569CA"/>
    <w:rsid w:val="00B6188F"/>
    <w:rsid w:val="00B631CD"/>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0D8F"/>
    <w:rsid w:val="00C93C4B"/>
    <w:rsid w:val="00C944AB"/>
    <w:rsid w:val="00C95B40"/>
    <w:rsid w:val="00CA1ED8"/>
    <w:rsid w:val="00CB1F63"/>
    <w:rsid w:val="00CB7170"/>
    <w:rsid w:val="00CC040E"/>
    <w:rsid w:val="00CC111F"/>
    <w:rsid w:val="00CC2011"/>
    <w:rsid w:val="00CC3EA0"/>
    <w:rsid w:val="00CC4B6D"/>
    <w:rsid w:val="00CC7B45"/>
    <w:rsid w:val="00CD1188"/>
    <w:rsid w:val="00CD2ED1"/>
    <w:rsid w:val="00CD337B"/>
    <w:rsid w:val="00CD7304"/>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31E0"/>
    <w:rsid w:val="00D86CA3"/>
    <w:rsid w:val="00D871CE"/>
    <w:rsid w:val="00D9196D"/>
    <w:rsid w:val="00D92982"/>
    <w:rsid w:val="00D94918"/>
    <w:rsid w:val="00DA305E"/>
    <w:rsid w:val="00DA5417"/>
    <w:rsid w:val="00DA56E8"/>
    <w:rsid w:val="00DB0A9F"/>
    <w:rsid w:val="00DB377D"/>
    <w:rsid w:val="00DC2D36"/>
    <w:rsid w:val="00DC53EF"/>
    <w:rsid w:val="00DD75A8"/>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2800"/>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A41"/>
    <w:rsid w:val="00EA7A41"/>
    <w:rsid w:val="00EB077B"/>
    <w:rsid w:val="00EB4EA2"/>
    <w:rsid w:val="00EC27C6"/>
    <w:rsid w:val="00EC4207"/>
    <w:rsid w:val="00EC5653"/>
    <w:rsid w:val="00EC71CE"/>
    <w:rsid w:val="00ED1006"/>
    <w:rsid w:val="00ED41F8"/>
    <w:rsid w:val="00EF18FE"/>
    <w:rsid w:val="00EF5787"/>
    <w:rsid w:val="00EF60D0"/>
    <w:rsid w:val="00F00B3F"/>
    <w:rsid w:val="00F0528D"/>
    <w:rsid w:val="00F06C67"/>
    <w:rsid w:val="00F06DFD"/>
    <w:rsid w:val="00F071D1"/>
    <w:rsid w:val="00F07533"/>
    <w:rsid w:val="00F10629"/>
    <w:rsid w:val="00F15FA5"/>
    <w:rsid w:val="00F209B7"/>
    <w:rsid w:val="00F2376F"/>
    <w:rsid w:val="00F243D8"/>
    <w:rsid w:val="00F30828"/>
    <w:rsid w:val="00F313D6"/>
    <w:rsid w:val="00F40F0C"/>
    <w:rsid w:val="00F4453A"/>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5DD"/>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180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936EF07E-F339-4282-BB49-2FDBA57D1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2A7D"/>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A12A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2A7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link w:val="B2Char"/>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Doc-title">
    <w:name w:val="Doc-title"/>
    <w:basedOn w:val="Normal"/>
    <w:next w:val="Doc-text2"/>
    <w:link w:val="Doc-titleChar"/>
    <w:qFormat/>
    <w:rsid w:val="0054007C"/>
    <w:pPr>
      <w:spacing w:before="60" w:after="0"/>
      <w:ind w:left="1259" w:hanging="1259"/>
    </w:pPr>
    <w:rPr>
      <w:rFonts w:eastAsia="MS Mincho"/>
      <w:noProof/>
      <w:szCs w:val="24"/>
      <w:lang w:eastAsia="en-GB"/>
    </w:rPr>
  </w:style>
  <w:style w:type="character" w:customStyle="1" w:styleId="Doc-titleChar">
    <w:name w:val="Doc-title Char"/>
    <w:link w:val="Doc-title"/>
    <w:rsid w:val="0054007C"/>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54007C"/>
    <w:pPr>
      <w:numPr>
        <w:numId w:val="16"/>
      </w:numPr>
      <w:spacing w:before="40" w:after="0"/>
    </w:pPr>
    <w:rPr>
      <w:rFonts w:eastAsia="MS Mincho"/>
      <w:b/>
      <w:szCs w:val="24"/>
      <w:lang w:eastAsia="en-GB"/>
    </w:rPr>
  </w:style>
  <w:style w:type="paragraph" w:customStyle="1" w:styleId="EmailDiscussion2">
    <w:name w:val="EmailDiscussion2"/>
    <w:basedOn w:val="Doc-text2"/>
    <w:qFormat/>
    <w:rsid w:val="0054007C"/>
  </w:style>
  <w:style w:type="character" w:customStyle="1" w:styleId="EmailDiscussionChar">
    <w:name w:val="EmailDiscussion Char"/>
    <w:link w:val="EmailDiscussion"/>
    <w:rsid w:val="0054007C"/>
    <w:rPr>
      <w:rFonts w:ascii="Arial" w:eastAsia="MS Mincho" w:hAnsi="Arial"/>
      <w:b/>
      <w:szCs w:val="24"/>
      <w:lang w:val="en-GB" w:eastAsia="en-GB"/>
    </w:rPr>
  </w:style>
  <w:style w:type="paragraph" w:styleId="ListParagraph">
    <w:name w:val="List Paragraph"/>
    <w:basedOn w:val="Normal"/>
    <w:uiPriority w:val="34"/>
    <w:qFormat/>
    <w:rsid w:val="0054007C"/>
    <w:pPr>
      <w:ind w:left="720"/>
      <w:contextualSpacing/>
    </w:pPr>
  </w:style>
  <w:style w:type="character" w:customStyle="1" w:styleId="B2Char">
    <w:name w:val="B2 Char"/>
    <w:link w:val="B2"/>
    <w:locked/>
    <w:rsid w:val="00CC4B6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152159">
      <w:bodyDiv w:val="1"/>
      <w:marLeft w:val="0"/>
      <w:marRight w:val="0"/>
      <w:marTop w:val="0"/>
      <w:marBottom w:val="0"/>
      <w:divBdr>
        <w:top w:val="none" w:sz="0" w:space="0" w:color="auto"/>
        <w:left w:val="none" w:sz="0" w:space="0" w:color="auto"/>
        <w:bottom w:val="none" w:sz="0" w:space="0" w:color="auto"/>
        <w:right w:val="none" w:sz="0" w:space="0" w:color="auto"/>
      </w:divBdr>
    </w:div>
    <w:div w:id="71633237">
      <w:bodyDiv w:val="1"/>
      <w:marLeft w:val="0"/>
      <w:marRight w:val="0"/>
      <w:marTop w:val="0"/>
      <w:marBottom w:val="0"/>
      <w:divBdr>
        <w:top w:val="none" w:sz="0" w:space="0" w:color="auto"/>
        <w:left w:val="none" w:sz="0" w:space="0" w:color="auto"/>
        <w:bottom w:val="none" w:sz="0" w:space="0" w:color="auto"/>
        <w:right w:val="none" w:sz="0" w:space="0" w:color="auto"/>
      </w:divBdr>
    </w:div>
    <w:div w:id="650597362">
      <w:bodyDiv w:val="1"/>
      <w:marLeft w:val="0"/>
      <w:marRight w:val="0"/>
      <w:marTop w:val="0"/>
      <w:marBottom w:val="0"/>
      <w:divBdr>
        <w:top w:val="none" w:sz="0" w:space="0" w:color="auto"/>
        <w:left w:val="none" w:sz="0" w:space="0" w:color="auto"/>
        <w:bottom w:val="none" w:sz="0" w:space="0" w:color="auto"/>
        <w:right w:val="none" w:sz="0" w:space="0" w:color="auto"/>
      </w:divBdr>
    </w:div>
    <w:div w:id="84312877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08301928">
      <w:bodyDiv w:val="1"/>
      <w:marLeft w:val="0"/>
      <w:marRight w:val="0"/>
      <w:marTop w:val="0"/>
      <w:marBottom w:val="0"/>
      <w:divBdr>
        <w:top w:val="none" w:sz="0" w:space="0" w:color="auto"/>
        <w:left w:val="none" w:sz="0" w:space="0" w:color="auto"/>
        <w:bottom w:val="none" w:sz="0" w:space="0" w:color="auto"/>
        <w:right w:val="none" w:sz="0" w:space="0" w:color="auto"/>
      </w:divBdr>
    </w:div>
    <w:div w:id="1298678435">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2024575">
      <w:bodyDiv w:val="1"/>
      <w:marLeft w:val="0"/>
      <w:marRight w:val="0"/>
      <w:marTop w:val="0"/>
      <w:marBottom w:val="0"/>
      <w:divBdr>
        <w:top w:val="none" w:sz="0" w:space="0" w:color="auto"/>
        <w:left w:val="none" w:sz="0" w:space="0" w:color="auto"/>
        <w:bottom w:val="none" w:sz="0" w:space="0" w:color="auto"/>
        <w:right w:val="none" w:sz="0" w:space="0" w:color="auto"/>
      </w:divBdr>
    </w:div>
    <w:div w:id="1573658160">
      <w:bodyDiv w:val="1"/>
      <w:marLeft w:val="0"/>
      <w:marRight w:val="0"/>
      <w:marTop w:val="0"/>
      <w:marBottom w:val="0"/>
      <w:divBdr>
        <w:top w:val="none" w:sz="0" w:space="0" w:color="auto"/>
        <w:left w:val="none" w:sz="0" w:space="0" w:color="auto"/>
        <w:bottom w:val="none" w:sz="0" w:space="0" w:color="auto"/>
        <w:right w:val="none" w:sz="0" w:space="0" w:color="auto"/>
      </w:divBdr>
    </w:div>
    <w:div w:id="1818304504">
      <w:bodyDiv w:val="1"/>
      <w:marLeft w:val="0"/>
      <w:marRight w:val="0"/>
      <w:marTop w:val="0"/>
      <w:marBottom w:val="0"/>
      <w:divBdr>
        <w:top w:val="none" w:sz="0" w:space="0" w:color="auto"/>
        <w:left w:val="none" w:sz="0" w:space="0" w:color="auto"/>
        <w:bottom w:val="none" w:sz="0" w:space="0" w:color="auto"/>
        <w:right w:val="none" w:sz="0" w:space="0" w:color="auto"/>
      </w:divBdr>
    </w:div>
    <w:div w:id="1890991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file:///C:/Data/3GPP/Extracts/R2-1804804%20-%20NR%20re-establishment%20procedure%20principles.docx"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file:///C:/Data/3GPP/RAN2/Docs/R2-1806480.zip" TargetMode="External"/><Relationship Id="rId2" Type="http://schemas.openxmlformats.org/officeDocument/2006/relationships/customXml" Target="../customXml/item1.xml"/><Relationship Id="rId16" Type="http://schemas.openxmlformats.org/officeDocument/2006/relationships/hyperlink" Target="file:///C:/Data/3GPP/RAN2/Docs/R2-1806480.zip"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file:///C:/Data/3GPP/RAN2/Docs/R2-1806480.zip" TargetMode="Externa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5NUHHDQN7SK2-1476151046-22999</_dlc_DocId>
    <_dlc_DocIdUrl xmlns="f166a696-7b5b-4ccd-9f0c-ffde0cceec81">
      <Url>https://ericsson.sharepoint.com/sites/star/_layouts/15/DocIdRedir.aspx?ID=5NUHHDQN7SK2-1476151046-22999</Url>
      <Description>5NUHHDQN7SK2-1476151046-22999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6F201-E98B-4341-A7FA-232414568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5.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6.xml><?xml version="1.0" encoding="utf-8"?>
<ds:datastoreItem xmlns:ds="http://schemas.openxmlformats.org/officeDocument/2006/customXml" ds:itemID="{F95D044E-DEF4-44A0-9715-94CD62B64AD4}">
  <ds:schemaRefs>
    <ds:schemaRef ds:uri="http://schemas.openxmlformats.org/package/2006/metadata/core-properties"/>
    <ds:schemaRef ds:uri="http://schemas.microsoft.com/office/2006/documentManagement/types"/>
    <ds:schemaRef ds:uri="http://schemas.microsoft.com/office/2006/metadata/properties"/>
    <ds:schemaRef ds:uri="d8762117-8292-4133-b1c7-eab5c6487cfd"/>
    <ds:schemaRef ds:uri="http://purl.org/dc/dcmitype/"/>
    <ds:schemaRef ds:uri="http://purl.org/dc/elements/1.1/"/>
    <ds:schemaRef ds:uri="http://schemas.microsoft.com/sharepoint/v4"/>
    <ds:schemaRef ds:uri="http://www.w3.org/XML/1998/namespace"/>
    <ds:schemaRef ds:uri="611109f9-ed58-4498-a270-1fb2086a5321"/>
    <ds:schemaRef ds:uri="http://schemas.microsoft.com/office/infopath/2007/PartnerControls"/>
    <ds:schemaRef ds:uri="f166a696-7b5b-4ccd-9f0c-ffde0cceec81"/>
    <ds:schemaRef ds:uri="http://purl.org/dc/terms/"/>
  </ds:schemaRefs>
</ds:datastoreItem>
</file>

<file path=customXml/itemProps7.xml><?xml version="1.0" encoding="utf-8"?>
<ds:datastoreItem xmlns:ds="http://schemas.openxmlformats.org/officeDocument/2006/customXml" ds:itemID="{C6D96C50-21DD-4C6E-91D3-39990E717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939</Words>
  <Characters>5353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Ericsson-v0</cp:lastModifiedBy>
  <cp:revision>2</cp:revision>
  <cp:lastPrinted>2008-01-31T16:09:00Z</cp:lastPrinted>
  <dcterms:created xsi:type="dcterms:W3CDTF">2018-05-10T18:46:00Z</dcterms:created>
  <dcterms:modified xsi:type="dcterms:W3CDTF">2018-05-10T18:46:00Z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def1ee3a-15d1-4de1-a4c6-2d777daecd5a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